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AA65" w14:textId="529C778D" w:rsidR="00B333B6" w:rsidRDefault="00B333B6" w:rsidP="00380B7C">
      <w:pPr>
        <w:pStyle w:val="Heading1"/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  <w:t>[2rAB 9/16/25]</w:t>
      </w:r>
    </w:p>
    <w:p w14:paraId="56C00C11" w14:textId="0094D1CF" w:rsidR="00010157" w:rsidRDefault="004102DD" w:rsidP="00380B7C">
      <w:pPr>
        <w:pStyle w:val="Heading1"/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  <w:t>Based on TO 4408</w:t>
      </w:r>
    </w:p>
    <w:p w14:paraId="1A83633F" w14:textId="77777777" w:rsidR="00010157" w:rsidRDefault="00010157" w:rsidP="003B35BF">
      <w:pPr>
        <w:pStyle w:val="Heading1"/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</w:pPr>
    </w:p>
    <w:p w14:paraId="30FCB538" w14:textId="5D6BF8F0" w:rsidR="008E673B" w:rsidRPr="003F0AEF" w:rsidRDefault="000D7236" w:rsidP="00AC63AA">
      <w:pPr>
        <w:pStyle w:val="Heading1"/>
        <w:spacing w:before="0" w:after="200" w:line="240" w:lineRule="auto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010157">
        <w:rPr>
          <w:rFonts w:ascii="Times New Roman" w:eastAsia="Arial" w:hAnsi="Times New Roman" w:cs="Times New Roman"/>
          <w:b/>
          <w:bCs/>
          <w:color w:val="333333"/>
          <w:sz w:val="24"/>
          <w:szCs w:val="24"/>
        </w:rPr>
        <w:t>Abstract:</w:t>
      </w:r>
      <w:r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 </w:t>
      </w:r>
      <w:r w:rsidR="00113D43">
        <w:rPr>
          <w:rFonts w:ascii="Times New Roman" w:eastAsia="Arial" w:hAnsi="Times New Roman" w:cs="Times New Roman"/>
          <w:color w:val="333333"/>
          <w:sz w:val="24"/>
          <w:szCs w:val="24"/>
        </w:rPr>
        <w:t>T</w:t>
      </w:r>
      <w:r w:rsidR="001A261D">
        <w:rPr>
          <w:rFonts w:ascii="Times New Roman" w:eastAsia="Arial" w:hAnsi="Times New Roman" w:cs="Times New Roman"/>
          <w:color w:val="333333"/>
          <w:sz w:val="24"/>
          <w:szCs w:val="24"/>
        </w:rPr>
        <w:t>ax planning</w:t>
      </w:r>
      <w:r w:rsidR="00113D43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at the end of the year</w:t>
      </w:r>
      <w:r w:rsidR="001A261D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="00A26A8D">
        <w:rPr>
          <w:rFonts w:ascii="Times New Roman" w:eastAsia="Arial" w:hAnsi="Times New Roman" w:cs="Times New Roman"/>
          <w:color w:val="333333"/>
          <w:sz w:val="24"/>
          <w:szCs w:val="24"/>
        </w:rPr>
        <w:t>can be done as late as November or even Decem</w:t>
      </w:r>
      <w:r w:rsidR="0022231F">
        <w:rPr>
          <w:rFonts w:ascii="Times New Roman" w:eastAsia="Arial" w:hAnsi="Times New Roman" w:cs="Times New Roman"/>
          <w:color w:val="333333"/>
          <w:sz w:val="24"/>
          <w:szCs w:val="24"/>
        </w:rPr>
        <w:t>ber</w:t>
      </w:r>
      <w:r w:rsidR="00523D1E"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. This article looks at </w:t>
      </w:r>
      <w:r w:rsidR="00D967DF"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>five</w:t>
      </w:r>
      <w:r w:rsidR="00523D1E"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tips that can help taxpayers improve their outcome </w:t>
      </w:r>
      <w:r w:rsidR="00B40CA2"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when tax </w:t>
      </w:r>
      <w:r w:rsidR="0022231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filing </w:t>
      </w:r>
      <w:r w:rsidR="00B40CA2" w:rsidRPr="003F0AE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time rolls around. </w:t>
      </w:r>
    </w:p>
    <w:p w14:paraId="2FA3B9AF" w14:textId="74893156" w:rsidR="003B35BF" w:rsidRPr="00B508E3" w:rsidRDefault="00AC63AA" w:rsidP="003B35BF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5</w:t>
      </w:r>
      <w:r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 </w:t>
      </w:r>
      <w:r w:rsidR="001D4704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s</w:t>
      </w:r>
      <w:r w:rsidR="003B35BF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mart </w:t>
      </w:r>
      <w:r w:rsidR="001D4704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t</w:t>
      </w:r>
      <w:r w:rsidR="003B35BF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ips for</w:t>
      </w:r>
      <w:r w:rsidR="001D4704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 individual</w:t>
      </w:r>
      <w:r w:rsidR="003B35BF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year-end </w:t>
      </w:r>
      <w:r w:rsidR="001D4704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t</w:t>
      </w:r>
      <w:r w:rsidR="003B35BF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 xml:space="preserve">ax </w:t>
      </w:r>
      <w:r w:rsidR="001D4704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p</w:t>
      </w:r>
      <w:r w:rsidR="003B35BF" w:rsidRPr="00B508E3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en-US"/>
        </w:rPr>
        <w:t>lanning</w:t>
      </w:r>
    </w:p>
    <w:p w14:paraId="4A31D8D4" w14:textId="215FD3C9" w:rsidR="00B760A3" w:rsidRPr="003F0AEF" w:rsidRDefault="00DA0EAC" w:rsidP="00B76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Even </w:t>
      </w:r>
      <w:r w:rsidR="008919CD">
        <w:rPr>
          <w:rFonts w:ascii="Times New Roman" w:eastAsia="Times New Roman" w:hAnsi="Times New Roman" w:cs="Times New Roman"/>
          <w:lang w:eastAsia="en-US"/>
        </w:rPr>
        <w:t xml:space="preserve">during the last two months of the year, you </w:t>
      </w:r>
      <w:r w:rsidR="003B35BF" w:rsidRPr="003F0AEF">
        <w:rPr>
          <w:rFonts w:ascii="Times New Roman" w:eastAsia="Times New Roman" w:hAnsi="Times New Roman" w:cs="Times New Roman"/>
          <w:lang w:eastAsia="en-US"/>
        </w:rPr>
        <w:t xml:space="preserve">can </w:t>
      </w:r>
      <w:r w:rsidR="008919CD">
        <w:rPr>
          <w:rFonts w:ascii="Times New Roman" w:eastAsia="Times New Roman" w:hAnsi="Times New Roman" w:cs="Times New Roman"/>
          <w:lang w:eastAsia="en-US"/>
        </w:rPr>
        <w:t xml:space="preserve">take steps to </w:t>
      </w:r>
      <w:r w:rsidR="003B35BF" w:rsidRPr="003F0AEF">
        <w:rPr>
          <w:rFonts w:ascii="Times New Roman" w:eastAsia="Times New Roman" w:hAnsi="Times New Roman" w:cs="Times New Roman"/>
          <w:lang w:eastAsia="en-US"/>
        </w:rPr>
        <w:t xml:space="preserve">reduce your </w:t>
      </w:r>
      <w:r w:rsidR="000F1CC8">
        <w:rPr>
          <w:rFonts w:ascii="Times New Roman" w:eastAsia="Times New Roman" w:hAnsi="Times New Roman" w:cs="Times New Roman"/>
          <w:lang w:eastAsia="en-US"/>
        </w:rPr>
        <w:t xml:space="preserve">2025 tax </w:t>
      </w:r>
      <w:r w:rsidR="003B35BF" w:rsidRPr="003F0AEF">
        <w:rPr>
          <w:rFonts w:ascii="Times New Roman" w:eastAsia="Times New Roman" w:hAnsi="Times New Roman" w:cs="Times New Roman"/>
          <w:lang w:eastAsia="en-US"/>
        </w:rPr>
        <w:t xml:space="preserve">liability. Here are </w:t>
      </w:r>
      <w:r w:rsidR="00D967DF" w:rsidRPr="003F0AEF">
        <w:rPr>
          <w:rFonts w:ascii="Times New Roman" w:eastAsia="Times New Roman" w:hAnsi="Times New Roman" w:cs="Times New Roman"/>
          <w:lang w:eastAsia="en-US"/>
        </w:rPr>
        <w:t>five</w:t>
      </w:r>
      <w:r w:rsidR="003B35BF" w:rsidRPr="003F0AEF">
        <w:rPr>
          <w:rFonts w:ascii="Times New Roman" w:eastAsia="Times New Roman" w:hAnsi="Times New Roman" w:cs="Times New Roman"/>
          <w:lang w:eastAsia="en-US"/>
        </w:rPr>
        <w:t xml:space="preserve"> practical strategies to consider.</w:t>
      </w:r>
    </w:p>
    <w:p w14:paraId="35F744F3" w14:textId="063C1658" w:rsidR="003B35BF" w:rsidRPr="003F0AEF" w:rsidRDefault="003B35BF" w:rsidP="003B3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1. </w:t>
      </w:r>
      <w:r w:rsidR="00050B78" w:rsidRPr="003F0AEF">
        <w:rPr>
          <w:rFonts w:ascii="Times New Roman" w:eastAsia="Times New Roman" w:hAnsi="Times New Roman" w:cs="Times New Roman"/>
          <w:b/>
          <w:bCs/>
          <w:lang w:eastAsia="en-US"/>
        </w:rPr>
        <w:t>Use bunching to m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aximize </w:t>
      </w:r>
      <w:r w:rsidR="00050B78" w:rsidRPr="003F0AEF">
        <w:rPr>
          <w:rFonts w:ascii="Times New Roman" w:eastAsia="Times New Roman" w:hAnsi="Times New Roman" w:cs="Times New Roman"/>
          <w:b/>
          <w:bCs/>
          <w:lang w:eastAsia="en-US"/>
        </w:rPr>
        <w:t>d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>eductions</w:t>
      </w:r>
    </w:p>
    <w:p w14:paraId="1D3D7F08" w14:textId="7534EB5E" w:rsidR="00203766" w:rsidRPr="003F0AEF" w:rsidRDefault="003B35BF" w:rsidP="0020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>If your itemized deductions are close to the standard deduction, consider a “bunching” strategy. This means timing certain payments</w:t>
      </w:r>
      <w:r w:rsidR="00E24128">
        <w:rPr>
          <w:rFonts w:ascii="Times New Roman" w:eastAsia="Times New Roman" w:hAnsi="Times New Roman" w:cs="Times New Roman"/>
          <w:lang w:eastAsia="en-US"/>
        </w:rPr>
        <w:t xml:space="preserve"> (</w:t>
      </w:r>
      <w:r w:rsidRPr="003F0AEF">
        <w:rPr>
          <w:rFonts w:ascii="Times New Roman" w:eastAsia="Times New Roman" w:hAnsi="Times New Roman" w:cs="Times New Roman"/>
          <w:lang w:eastAsia="en-US"/>
        </w:rPr>
        <w:t>such as mortgage interest, state and local taxes, charitable gifts</w:t>
      </w:r>
      <w:r w:rsidR="00832951">
        <w:rPr>
          <w:rFonts w:ascii="Times New Roman" w:eastAsia="Times New Roman" w:hAnsi="Times New Roman" w:cs="Times New Roman"/>
          <w:lang w:eastAsia="en-US"/>
        </w:rPr>
        <w:t xml:space="preserve"> </w:t>
      </w:r>
      <w:r w:rsidR="006A363E">
        <w:rPr>
          <w:rFonts w:ascii="Times New Roman" w:eastAsia="Times New Roman" w:hAnsi="Times New Roman" w:cs="Times New Roman"/>
          <w:lang w:eastAsia="en-US"/>
        </w:rPr>
        <w:t>and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medical expenses</w:t>
      </w:r>
      <w:r w:rsidR="00E24128">
        <w:rPr>
          <w:rFonts w:ascii="Times New Roman" w:eastAsia="Times New Roman" w:hAnsi="Times New Roman" w:cs="Times New Roman"/>
          <w:lang w:eastAsia="en-US"/>
        </w:rPr>
        <w:t>)</w:t>
      </w:r>
      <w:r w:rsidR="00203766" w:rsidRPr="003F0AEF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3F0AEF">
        <w:rPr>
          <w:rFonts w:ascii="Times New Roman" w:eastAsia="Times New Roman" w:hAnsi="Times New Roman" w:cs="Times New Roman"/>
          <w:lang w:eastAsia="en-US"/>
        </w:rPr>
        <w:t>so that they push you above the standard deduction in one year. The following year, you can tak</w:t>
      </w:r>
      <w:r w:rsidR="00832951">
        <w:rPr>
          <w:rFonts w:ascii="Times New Roman" w:eastAsia="Times New Roman" w:hAnsi="Times New Roman" w:cs="Times New Roman"/>
          <w:lang w:eastAsia="en-US"/>
        </w:rPr>
        <w:t>e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the standard deduction</w:t>
      </w:r>
      <w:r w:rsidR="00832951">
        <w:rPr>
          <w:rFonts w:ascii="Times New Roman" w:eastAsia="Times New Roman" w:hAnsi="Times New Roman" w:cs="Times New Roman"/>
          <w:lang w:eastAsia="en-US"/>
        </w:rPr>
        <w:t xml:space="preserve"> and</w:t>
      </w:r>
      <w:r w:rsidR="00D033AA">
        <w:rPr>
          <w:rFonts w:ascii="Times New Roman" w:eastAsia="Times New Roman" w:hAnsi="Times New Roman" w:cs="Times New Roman"/>
          <w:lang w:eastAsia="en-US"/>
        </w:rPr>
        <w:t>, to the extent possible,</w:t>
      </w:r>
      <w:r w:rsidR="00832951">
        <w:rPr>
          <w:rFonts w:ascii="Times New Roman" w:eastAsia="Times New Roman" w:hAnsi="Times New Roman" w:cs="Times New Roman"/>
          <w:lang w:eastAsia="en-US"/>
        </w:rPr>
        <w:t xml:space="preserve"> defer </w:t>
      </w:r>
      <w:r w:rsidR="00E24128">
        <w:rPr>
          <w:rFonts w:ascii="Times New Roman" w:eastAsia="Times New Roman" w:hAnsi="Times New Roman" w:cs="Times New Roman"/>
          <w:lang w:eastAsia="en-US"/>
        </w:rPr>
        <w:t xml:space="preserve">paying </w:t>
      </w:r>
      <w:r w:rsidR="003F0E83">
        <w:rPr>
          <w:rFonts w:ascii="Times New Roman" w:eastAsia="Times New Roman" w:hAnsi="Times New Roman" w:cs="Times New Roman"/>
          <w:lang w:eastAsia="en-US"/>
        </w:rPr>
        <w:t xml:space="preserve">deductible expenses to the </w:t>
      </w:r>
      <w:r w:rsidR="001C5FEC">
        <w:rPr>
          <w:rFonts w:ascii="Times New Roman" w:eastAsia="Times New Roman" w:hAnsi="Times New Roman" w:cs="Times New Roman"/>
          <w:lang w:eastAsia="en-US"/>
        </w:rPr>
        <w:t>following</w:t>
      </w:r>
      <w:r w:rsidR="001C5FEC">
        <w:rPr>
          <w:rFonts w:ascii="Times New Roman" w:eastAsia="Times New Roman" w:hAnsi="Times New Roman" w:cs="Times New Roman"/>
          <w:lang w:eastAsia="en-US"/>
        </w:rPr>
        <w:t xml:space="preserve"> </w:t>
      </w:r>
      <w:r w:rsidR="003F0E83">
        <w:rPr>
          <w:rFonts w:ascii="Times New Roman" w:eastAsia="Times New Roman" w:hAnsi="Times New Roman" w:cs="Times New Roman"/>
          <w:lang w:eastAsia="en-US"/>
        </w:rPr>
        <w:t>year</w:t>
      </w:r>
      <w:r w:rsidRPr="003F0AEF">
        <w:rPr>
          <w:rFonts w:ascii="Times New Roman" w:eastAsia="Times New Roman" w:hAnsi="Times New Roman" w:cs="Times New Roman"/>
          <w:lang w:eastAsia="en-US"/>
        </w:rPr>
        <w:t>. This alternating approach helps you capture</w:t>
      </w:r>
      <w:r w:rsidR="00642E99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 w:rsidR="00B760A3" w:rsidRPr="003F0AEF">
        <w:rPr>
          <w:rFonts w:ascii="Times New Roman" w:eastAsia="Times New Roman" w:hAnsi="Times New Roman" w:cs="Times New Roman"/>
          <w:lang w:eastAsia="en-US"/>
        </w:rPr>
        <w:t>deductions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that might otherwise be lost.</w:t>
      </w:r>
      <w:r w:rsidR="00203766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4A85C3AB" w14:textId="045206CF" w:rsidR="003B35BF" w:rsidRPr="003F0AEF" w:rsidRDefault="003B35BF" w:rsidP="003B3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2. Balance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g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ains and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l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>osses</w:t>
      </w:r>
    </w:p>
    <w:p w14:paraId="7C359FAB" w14:textId="16606808" w:rsidR="00B760A3" w:rsidRPr="003F0AEF" w:rsidRDefault="003B35BF" w:rsidP="00B76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 xml:space="preserve">If you have investments in taxable accounts, keep an eye on both realized and unrealized gains and losses. Selling appreciated securities held for more than a year ensures </w:t>
      </w:r>
      <w:r w:rsidR="008C610E">
        <w:rPr>
          <w:rFonts w:ascii="Times New Roman" w:eastAsia="Times New Roman" w:hAnsi="Times New Roman" w:cs="Times New Roman"/>
          <w:lang w:eastAsia="en-US"/>
        </w:rPr>
        <w:t>they're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taxed at </w:t>
      </w:r>
      <w:r w:rsidR="003F4300">
        <w:rPr>
          <w:rFonts w:ascii="Times New Roman" w:eastAsia="Times New Roman" w:hAnsi="Times New Roman" w:cs="Times New Roman"/>
          <w:lang w:eastAsia="en-US"/>
        </w:rPr>
        <w:t>your</w:t>
      </w:r>
      <w:r w:rsidR="003F4300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lower long-term capital gains rate (typically 15</w:t>
      </w:r>
      <w:r w:rsidR="00B92692">
        <w:rPr>
          <w:rFonts w:ascii="Times New Roman" w:eastAsia="Times New Roman" w:hAnsi="Times New Roman" w:cs="Times New Roman"/>
          <w:lang w:eastAsia="en-US"/>
        </w:rPr>
        <w:t>% or</w:t>
      </w:r>
      <w:r w:rsidR="008A7B4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20%, plus the 3.8% net investment income tax at higher income levels)</w:t>
      </w:r>
      <w:r w:rsidR="003B0F15">
        <w:rPr>
          <w:rFonts w:ascii="Times New Roman" w:eastAsia="Times New Roman" w:hAnsi="Times New Roman" w:cs="Times New Roman"/>
          <w:lang w:eastAsia="en-US"/>
        </w:rPr>
        <w:t xml:space="preserve"> rather </w:t>
      </w:r>
      <w:r w:rsidR="008A7B4A">
        <w:rPr>
          <w:rFonts w:ascii="Times New Roman" w:eastAsia="Times New Roman" w:hAnsi="Times New Roman" w:cs="Times New Roman"/>
          <w:lang w:eastAsia="en-US"/>
        </w:rPr>
        <w:t xml:space="preserve">than </w:t>
      </w:r>
      <w:r w:rsidR="003B0F15">
        <w:rPr>
          <w:rFonts w:ascii="Times New Roman" w:eastAsia="Times New Roman" w:hAnsi="Times New Roman" w:cs="Times New Roman"/>
          <w:lang w:eastAsia="en-US"/>
        </w:rPr>
        <w:t>your higher, ordinary-income rate (which may be as much as 37%)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. </w:t>
      </w:r>
      <w:r w:rsidR="005E024F">
        <w:rPr>
          <w:rFonts w:ascii="Times New Roman" w:eastAsia="Times New Roman" w:hAnsi="Times New Roman" w:cs="Times New Roman"/>
          <w:lang w:eastAsia="en-US"/>
        </w:rPr>
        <w:t>But</w:t>
      </w:r>
      <w:r w:rsidR="000A404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selling investments </w:t>
      </w:r>
      <w:r w:rsidR="00620F61">
        <w:rPr>
          <w:rFonts w:ascii="Times New Roman" w:eastAsia="Times New Roman" w:hAnsi="Times New Roman" w:cs="Times New Roman"/>
          <w:lang w:eastAsia="en-US"/>
        </w:rPr>
        <w:t xml:space="preserve">at a loss </w:t>
      </w:r>
      <w:r w:rsidRPr="003F0AEF">
        <w:rPr>
          <w:rFonts w:ascii="Times New Roman" w:eastAsia="Times New Roman" w:hAnsi="Times New Roman" w:cs="Times New Roman"/>
          <w:lang w:eastAsia="en-US"/>
        </w:rPr>
        <w:t>can offset gains. If losses exceed gains, up to $3,000 can offset ordinary income, with the remainder carried forward. This flexibility can reduce taxes this year</w:t>
      </w:r>
      <w:r w:rsidR="00D219DA" w:rsidRPr="003F0AEF">
        <w:rPr>
          <w:rFonts w:ascii="Times New Roman" w:eastAsia="Times New Roman" w:hAnsi="Times New Roman" w:cs="Times New Roman"/>
          <w:lang w:eastAsia="en-US"/>
        </w:rPr>
        <w:t xml:space="preserve"> and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in future years.</w:t>
      </w:r>
      <w:r w:rsidR="00B760A3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179EA71D" w14:textId="55853D37" w:rsidR="003B35BF" w:rsidRPr="003F0AEF" w:rsidRDefault="003B35BF" w:rsidP="003B3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3. Gift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a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ppreciated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a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ssets to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l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oved </w:t>
      </w:r>
      <w:r w:rsidR="005753D0" w:rsidRPr="003F0AEF">
        <w:rPr>
          <w:rFonts w:ascii="Times New Roman" w:eastAsia="Times New Roman" w:hAnsi="Times New Roman" w:cs="Times New Roman"/>
          <w:b/>
          <w:bCs/>
          <w:lang w:eastAsia="en-US"/>
        </w:rPr>
        <w:t>o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>nes</w:t>
      </w:r>
    </w:p>
    <w:p w14:paraId="0424E38B" w14:textId="2136556A" w:rsidR="0051365F" w:rsidRPr="003F0AEF" w:rsidRDefault="0051365F" w:rsidP="0051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 xml:space="preserve">If you want to support family members while cutting your tax bill, consider </w:t>
      </w:r>
      <w:r>
        <w:rPr>
          <w:rFonts w:ascii="Times New Roman" w:eastAsia="Times New Roman" w:hAnsi="Times New Roman" w:cs="Times New Roman"/>
          <w:lang w:eastAsia="en-US"/>
        </w:rPr>
        <w:t>g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iving appreciated investments to adult children or </w:t>
      </w:r>
      <w:r>
        <w:rPr>
          <w:rFonts w:ascii="Times New Roman" w:eastAsia="Times New Roman" w:hAnsi="Times New Roman" w:cs="Times New Roman"/>
          <w:lang w:eastAsia="en-US"/>
        </w:rPr>
        <w:t xml:space="preserve">other </w:t>
      </w:r>
      <w:r w:rsidRPr="003F0AEF">
        <w:rPr>
          <w:rFonts w:ascii="Times New Roman" w:eastAsia="Times New Roman" w:hAnsi="Times New Roman" w:cs="Times New Roman"/>
          <w:lang w:eastAsia="en-US"/>
        </w:rPr>
        <w:t>relatives in lower tax brackets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They can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sell the assets at a lower capital gains rate — possibly even 0%. Just be cautious about the “kiddie tax,” which </w:t>
      </w:r>
      <w:r>
        <w:rPr>
          <w:rFonts w:ascii="Times New Roman" w:eastAsia="Times New Roman" w:hAnsi="Times New Roman" w:cs="Times New Roman"/>
          <w:lang w:eastAsia="en-US"/>
        </w:rPr>
        <w:t xml:space="preserve">generally 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applies to children under </w:t>
      </w:r>
      <w:r>
        <w:rPr>
          <w:rFonts w:ascii="Times New Roman" w:eastAsia="Times New Roman" w:hAnsi="Times New Roman" w:cs="Times New Roman"/>
          <w:lang w:eastAsia="en-US"/>
        </w:rPr>
        <w:t>age 19 (</w:t>
      </w:r>
      <w:r w:rsidRPr="003F0AEF">
        <w:rPr>
          <w:rFonts w:ascii="Times New Roman" w:eastAsia="Times New Roman" w:hAnsi="Times New Roman" w:cs="Times New Roman"/>
          <w:lang w:eastAsia="en-US"/>
        </w:rPr>
        <w:t>24</w:t>
      </w:r>
      <w:r>
        <w:rPr>
          <w:rFonts w:ascii="Times New Roman" w:eastAsia="Times New Roman" w:hAnsi="Times New Roman" w:cs="Times New Roman"/>
          <w:lang w:eastAsia="en-US"/>
        </w:rPr>
        <w:t xml:space="preserve"> if they’re a full-time student)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, and potential gift tax implications. </w:t>
      </w:r>
    </w:p>
    <w:p w14:paraId="4865E98C" w14:textId="51844FBB" w:rsidR="003B35BF" w:rsidRPr="003F0AEF" w:rsidRDefault="003B35BF" w:rsidP="00F47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4. </w:t>
      </w:r>
      <w:r w:rsidR="00796957">
        <w:rPr>
          <w:rFonts w:ascii="Times New Roman" w:eastAsia="Times New Roman" w:hAnsi="Times New Roman" w:cs="Times New Roman"/>
          <w:b/>
          <w:bCs/>
          <w:lang w:eastAsia="en-US"/>
        </w:rPr>
        <w:t>Give</w:t>
      </w:r>
      <w:r w:rsidR="00796957"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9A1DC0">
        <w:rPr>
          <w:rFonts w:ascii="Times New Roman" w:eastAsia="Times New Roman" w:hAnsi="Times New Roman" w:cs="Times New Roman"/>
          <w:b/>
          <w:bCs/>
          <w:lang w:eastAsia="en-US"/>
        </w:rPr>
        <w:t>wisely</w:t>
      </w:r>
      <w:r w:rsidR="009A1DC0"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to </w:t>
      </w:r>
      <w:r w:rsidR="00053F50" w:rsidRPr="003F0AEF">
        <w:rPr>
          <w:rFonts w:ascii="Times New Roman" w:eastAsia="Times New Roman" w:hAnsi="Times New Roman" w:cs="Times New Roman"/>
          <w:b/>
          <w:bCs/>
          <w:lang w:eastAsia="en-US"/>
        </w:rPr>
        <w:t>c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>harities</w:t>
      </w:r>
    </w:p>
    <w:p w14:paraId="76E33BAE" w14:textId="0A367C3F" w:rsidR="00B760A3" w:rsidRPr="003F0AEF" w:rsidRDefault="003B35BF" w:rsidP="00B76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>Instead of donating cash, consider gi</w:t>
      </w:r>
      <w:r w:rsidR="005B4F7C">
        <w:rPr>
          <w:rFonts w:ascii="Times New Roman" w:eastAsia="Times New Roman" w:hAnsi="Times New Roman" w:cs="Times New Roman"/>
          <w:lang w:eastAsia="en-US"/>
        </w:rPr>
        <w:t>v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ing highly appreciated stock or mutual fund shares. You avoid paying capital gains tax and can deduct the full fair market value if you itemize. Alternatively, selling investments </w:t>
      </w:r>
      <w:r w:rsidR="00DA3CFC">
        <w:rPr>
          <w:rFonts w:ascii="Times New Roman" w:eastAsia="Times New Roman" w:hAnsi="Times New Roman" w:cs="Times New Roman"/>
          <w:lang w:eastAsia="en-US"/>
        </w:rPr>
        <w:t>at a loss</w:t>
      </w:r>
      <w:r w:rsidR="005B4F7C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and donating the proceeds allows you to claim both the capital loss and the charitable deduction. With some tax rules set to tighten in 2026, making larger gifts before year-end could be especially advantageous.</w:t>
      </w:r>
      <w:r w:rsidR="00B760A3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 w:rsidR="00DA3CFC">
        <w:rPr>
          <w:rFonts w:ascii="Times New Roman" w:eastAsia="Times New Roman" w:hAnsi="Times New Roman" w:cs="Times New Roman"/>
          <w:lang w:eastAsia="en-US"/>
        </w:rPr>
        <w:t xml:space="preserve">(But if you don’t itemize, you can look forward to </w:t>
      </w:r>
      <w:r w:rsidR="00F41084">
        <w:rPr>
          <w:rFonts w:ascii="Times New Roman" w:eastAsia="Times New Roman" w:hAnsi="Times New Roman" w:cs="Times New Roman"/>
          <w:lang w:eastAsia="en-US"/>
        </w:rPr>
        <w:t>the limited charitable deduction that will be available to nonitemizers beginning in 2026.)</w:t>
      </w:r>
    </w:p>
    <w:p w14:paraId="3F15A1F1" w14:textId="7D8C00F1" w:rsidR="003B35BF" w:rsidRPr="003F0AEF" w:rsidRDefault="003B35BF" w:rsidP="003B3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5. Use </w:t>
      </w:r>
      <w:r w:rsidR="00053F50" w:rsidRPr="003F0AEF">
        <w:rPr>
          <w:rFonts w:ascii="Times New Roman" w:eastAsia="Times New Roman" w:hAnsi="Times New Roman" w:cs="Times New Roman"/>
          <w:b/>
          <w:bCs/>
          <w:lang w:eastAsia="en-US"/>
        </w:rPr>
        <w:t>y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our IRA for </w:t>
      </w:r>
      <w:r w:rsidR="00796957">
        <w:rPr>
          <w:rFonts w:ascii="Times New Roman" w:eastAsia="Times New Roman" w:hAnsi="Times New Roman" w:cs="Times New Roman"/>
          <w:b/>
          <w:bCs/>
          <w:lang w:eastAsia="en-US"/>
        </w:rPr>
        <w:t>donations</w:t>
      </w:r>
    </w:p>
    <w:p w14:paraId="5FCDC92C" w14:textId="6749438B" w:rsidR="003B35BF" w:rsidRPr="003F0AEF" w:rsidRDefault="003B35BF" w:rsidP="00D9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>For those age 70½ or older, making charitable donations directly from an IRA</w:t>
      </w:r>
      <w:r w:rsidR="00890160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—</w:t>
      </w:r>
      <w:r w:rsidR="00890160" w:rsidRPr="003F0AE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called qualified charitable distributions (QCDs)</w:t>
      </w:r>
      <w:r w:rsidR="00060205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>—</w:t>
      </w:r>
      <w:r w:rsidR="00060205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offers unique advantages. You can donate up to $108,000 in 2025 directly to qualified charities, keeping those amounts out of your taxable income. This strategy reduces adjusted gross income, which may help preserve eligibility for other tax breaks. </w:t>
      </w:r>
    </w:p>
    <w:p w14:paraId="74AB7CE4" w14:textId="1E56EF66" w:rsidR="003B35BF" w:rsidRPr="003F0AEF" w:rsidRDefault="003B35BF" w:rsidP="003B3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 xml:space="preserve">Final </w:t>
      </w:r>
      <w:r w:rsidR="009F1010" w:rsidRPr="003F0AEF">
        <w:rPr>
          <w:rFonts w:ascii="Times New Roman" w:eastAsia="Times New Roman" w:hAnsi="Times New Roman" w:cs="Times New Roman"/>
          <w:b/>
          <w:bCs/>
          <w:lang w:eastAsia="en-US"/>
        </w:rPr>
        <w:t>t</w:t>
      </w:r>
      <w:r w:rsidRPr="003F0AEF">
        <w:rPr>
          <w:rFonts w:ascii="Times New Roman" w:eastAsia="Times New Roman" w:hAnsi="Times New Roman" w:cs="Times New Roman"/>
          <w:b/>
          <w:bCs/>
          <w:lang w:eastAsia="en-US"/>
        </w:rPr>
        <w:t>hought</w:t>
      </w:r>
    </w:p>
    <w:p w14:paraId="71E323D9" w14:textId="7799376A" w:rsidR="003B35BF" w:rsidRPr="003F0AEF" w:rsidRDefault="003B35BF" w:rsidP="003B3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0AEF">
        <w:rPr>
          <w:rFonts w:ascii="Times New Roman" w:eastAsia="Times New Roman" w:hAnsi="Times New Roman" w:cs="Times New Roman"/>
          <w:lang w:eastAsia="en-US"/>
        </w:rPr>
        <w:t>The best tax strategies depend on your personal situation. Timing, income level, and future expectations all matter. Before taking action, consult</w:t>
      </w:r>
      <w:r w:rsidR="009F1010" w:rsidRPr="003F0AEF">
        <w:rPr>
          <w:rFonts w:ascii="Times New Roman" w:eastAsia="Times New Roman" w:hAnsi="Times New Roman" w:cs="Times New Roman"/>
          <w:lang w:eastAsia="en-US"/>
        </w:rPr>
        <w:t xml:space="preserve"> your</w:t>
      </w:r>
      <w:r w:rsidRPr="003F0AEF">
        <w:rPr>
          <w:rFonts w:ascii="Times New Roman" w:eastAsia="Times New Roman" w:hAnsi="Times New Roman" w:cs="Times New Roman"/>
          <w:lang w:eastAsia="en-US"/>
        </w:rPr>
        <w:t xml:space="preserve"> tax advisor to tailor these approaches to your needs.</w:t>
      </w:r>
    </w:p>
    <w:p w14:paraId="2C078E63" w14:textId="31E320C3" w:rsidR="00D02982" w:rsidRPr="003F0AEF" w:rsidRDefault="00D02982">
      <w:pPr>
        <w:rPr>
          <w:rFonts w:ascii="Times New Roman" w:hAnsi="Times New Roman" w:cs="Times New Roman"/>
        </w:rPr>
      </w:pPr>
    </w:p>
    <w:sectPr w:rsidR="00D02982" w:rsidRPr="003F0AEF" w:rsidSect="00380B7C">
      <w:pgSz w:w="12240" w:h="15840"/>
      <w:pgMar w:top="1440" w:right="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875E"/>
    <w:multiLevelType w:val="hybridMultilevel"/>
    <w:tmpl w:val="FFFFFFFF"/>
    <w:lvl w:ilvl="0" w:tplc="0AB081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AB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D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EA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07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28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6F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09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E994"/>
    <w:multiLevelType w:val="hybridMultilevel"/>
    <w:tmpl w:val="FFFFFFFF"/>
    <w:lvl w:ilvl="0" w:tplc="F83EF8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18D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4B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08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66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EB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4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6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4AFD"/>
    <w:multiLevelType w:val="hybridMultilevel"/>
    <w:tmpl w:val="FFFFFFFF"/>
    <w:lvl w:ilvl="0" w:tplc="3C1202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C22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4A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8F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6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C6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B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A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4EEB7"/>
    <w:multiLevelType w:val="hybridMultilevel"/>
    <w:tmpl w:val="FFFFFFFF"/>
    <w:lvl w:ilvl="0" w:tplc="2A206A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B0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E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6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C1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67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AB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4C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0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81998">
    <w:abstractNumId w:val="1"/>
  </w:num>
  <w:num w:numId="2" w16cid:durableId="298386914">
    <w:abstractNumId w:val="2"/>
  </w:num>
  <w:num w:numId="3" w16cid:durableId="682709707">
    <w:abstractNumId w:val="3"/>
  </w:num>
  <w:num w:numId="4" w16cid:durableId="85735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0C991"/>
    <w:rsid w:val="00010157"/>
    <w:rsid w:val="0003206C"/>
    <w:rsid w:val="00050B78"/>
    <w:rsid w:val="00053F50"/>
    <w:rsid w:val="00060205"/>
    <w:rsid w:val="000A404F"/>
    <w:rsid w:val="000D10C7"/>
    <w:rsid w:val="000D7236"/>
    <w:rsid w:val="000F1CC8"/>
    <w:rsid w:val="00113D43"/>
    <w:rsid w:val="00125FA2"/>
    <w:rsid w:val="001A261D"/>
    <w:rsid w:val="001B08BD"/>
    <w:rsid w:val="001C5FEC"/>
    <w:rsid w:val="001D4704"/>
    <w:rsid w:val="001F2CC3"/>
    <w:rsid w:val="00203766"/>
    <w:rsid w:val="0022231F"/>
    <w:rsid w:val="002C415D"/>
    <w:rsid w:val="002C6FD8"/>
    <w:rsid w:val="00346886"/>
    <w:rsid w:val="00353548"/>
    <w:rsid w:val="00380B7C"/>
    <w:rsid w:val="003A4E14"/>
    <w:rsid w:val="003B0F15"/>
    <w:rsid w:val="003B35BF"/>
    <w:rsid w:val="003F0AEF"/>
    <w:rsid w:val="003F0E83"/>
    <w:rsid w:val="003F4300"/>
    <w:rsid w:val="004102DD"/>
    <w:rsid w:val="00453BF0"/>
    <w:rsid w:val="004F6FB7"/>
    <w:rsid w:val="0051365F"/>
    <w:rsid w:val="00523D1E"/>
    <w:rsid w:val="005753D0"/>
    <w:rsid w:val="005B4F7C"/>
    <w:rsid w:val="005E024F"/>
    <w:rsid w:val="005E5DF2"/>
    <w:rsid w:val="00620F61"/>
    <w:rsid w:val="0062500C"/>
    <w:rsid w:val="00642E99"/>
    <w:rsid w:val="006A363E"/>
    <w:rsid w:val="006F256A"/>
    <w:rsid w:val="007076F3"/>
    <w:rsid w:val="00716A13"/>
    <w:rsid w:val="007950FE"/>
    <w:rsid w:val="00796957"/>
    <w:rsid w:val="007C051B"/>
    <w:rsid w:val="007D51E2"/>
    <w:rsid w:val="007D5F16"/>
    <w:rsid w:val="007F28FB"/>
    <w:rsid w:val="00832951"/>
    <w:rsid w:val="00890160"/>
    <w:rsid w:val="008919CD"/>
    <w:rsid w:val="008A7B4A"/>
    <w:rsid w:val="008C610E"/>
    <w:rsid w:val="008D75B4"/>
    <w:rsid w:val="008E673B"/>
    <w:rsid w:val="0097491A"/>
    <w:rsid w:val="00976DF2"/>
    <w:rsid w:val="009A1DC0"/>
    <w:rsid w:val="009C07C4"/>
    <w:rsid w:val="009D7BF0"/>
    <w:rsid w:val="009F1010"/>
    <w:rsid w:val="009F454B"/>
    <w:rsid w:val="00A26A8D"/>
    <w:rsid w:val="00A4217C"/>
    <w:rsid w:val="00A4272A"/>
    <w:rsid w:val="00A62A1D"/>
    <w:rsid w:val="00A81FFB"/>
    <w:rsid w:val="00AB3B53"/>
    <w:rsid w:val="00AB48E9"/>
    <w:rsid w:val="00AC63AA"/>
    <w:rsid w:val="00B13B45"/>
    <w:rsid w:val="00B333B6"/>
    <w:rsid w:val="00B40CA2"/>
    <w:rsid w:val="00B50425"/>
    <w:rsid w:val="00B508E3"/>
    <w:rsid w:val="00B760A3"/>
    <w:rsid w:val="00B92692"/>
    <w:rsid w:val="00BF597E"/>
    <w:rsid w:val="00C574F5"/>
    <w:rsid w:val="00C67484"/>
    <w:rsid w:val="00D02982"/>
    <w:rsid w:val="00D033AA"/>
    <w:rsid w:val="00D14849"/>
    <w:rsid w:val="00D219DA"/>
    <w:rsid w:val="00D378FC"/>
    <w:rsid w:val="00D75589"/>
    <w:rsid w:val="00D967DF"/>
    <w:rsid w:val="00DA0EAC"/>
    <w:rsid w:val="00DA3CFC"/>
    <w:rsid w:val="00DD0B8C"/>
    <w:rsid w:val="00DE161E"/>
    <w:rsid w:val="00E24128"/>
    <w:rsid w:val="00E40464"/>
    <w:rsid w:val="00E84E1C"/>
    <w:rsid w:val="00EE35BC"/>
    <w:rsid w:val="00F41084"/>
    <w:rsid w:val="00F474C8"/>
    <w:rsid w:val="00F5311B"/>
    <w:rsid w:val="00FD1879"/>
    <w:rsid w:val="0173AD7D"/>
    <w:rsid w:val="3F916455"/>
    <w:rsid w:val="5290C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0C991"/>
  <w15:chartTrackingRefBased/>
  <w15:docId w15:val="{639C88B7-E795-4D61-8582-47E3E132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F9164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C63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7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595F9F0D-64B5-4A8C-8311-C51E81E8B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33FDF-DE46-41A6-91BF-E1232EE21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8419A-D435-4FC9-B854-F9CE4626F61A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534</Words>
  <Characters>2781</Characters>
  <Application>Microsoft Office Word</Application>
  <DocSecurity>0</DocSecurity>
  <Lines>41</Lines>
  <Paragraphs>17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62</cp:revision>
  <dcterms:created xsi:type="dcterms:W3CDTF">2025-09-16T21:23:00Z</dcterms:created>
  <dcterms:modified xsi:type="dcterms:W3CDTF">2025-09-22T17:34:00Z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113e645a-5923-4465-9069-326d4914f6ad</vt:lpwstr>
  </property>
</Properties>
</file>